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DB" w:rsidRDefault="00D536DB" w:rsidP="00D536DB">
      <w:pPr>
        <w:pStyle w:val="1"/>
      </w:pPr>
      <w:r>
        <w:t>(71-36-3)正丁醇的理化及危险特性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118"/>
        <w:gridCol w:w="2398"/>
        <w:gridCol w:w="2170"/>
      </w:tblGrid>
      <w:tr w:rsidR="00D536DB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中文名：丁醇 ；正丁醇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butyl alcohol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</w:rPr>
              <w:t>1-butanol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4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10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74.12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UN编号：1120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3类；高闪点易燃液体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 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3552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CAS号：71-36-3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外观与性状：无色透明液体，具有特殊气味。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溶解性：微溶于水，溶于乙醇、醚、多数有机溶剂。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熔点（℃）：－88.9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沸点（℃）：117.5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相对密度（水＝1）：0.81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相对密度（空气＝1）：2.55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饱和蒸气压（kPa）：0.82(25℃)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燃烧热（kJ/mol）：2673.2</w:t>
            </w:r>
          </w:p>
        </w:tc>
      </w:tr>
      <w:tr w:rsidR="00D536DB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临界温度（℃）：287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临界压力（MPa）：4.90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闪点（℃）：35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爆炸下限（%）：1.4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爆炸上限（%）：11.2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引燃温度（℃）：340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强氧化剂、酸酐、酰基氯、强酸。</w:t>
            </w:r>
          </w:p>
        </w:tc>
      </w:tr>
      <w:tr w:rsidR="00D536DB" w:rsidTr="0090435F">
        <w:trPr>
          <w:cantSplit/>
          <w:trHeight w:val="798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易燃，其蒸气与空气可形成爆炸性混合物。遇明火、高温能引起燃烧爆炸。与氧化剂接触猛烈反应。在火场中，受热的容器有爆炸危险。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灭火方法：用雾状水保持火场容器冷却，用水喷射逸出液体，使其稀释成不燃性混合物，并用雾状水保护消防人员。灭火剂：抗溶性泡沫、干粉、二氧化碳、砂土、雾状水、1211灭火剂。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：4360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 xml:space="preserve">(大鼠经口)； </w:t>
            </w:r>
          </w:p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：3400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(兔经皮)；</w:t>
            </w:r>
          </w:p>
        </w:tc>
      </w:tr>
      <w:tr w:rsidR="00D536DB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D536DB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本品具有刺激和麻醉作用。主要症状为眼、鼻、喉部刺激，在角膜浅层形成半透明的空泡，头痛、头晕和嗜睡，手部可发生接触性皮炎。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 ※眼睛接触：立即提起眼睑，用大量流动清水或生理盐水彻底冲洗15分钟。就医。   ※吸入：迅速脱离现场至空气新鲜处。保持呼吸道通畅。如呼吸困难，给输氧。如呼吸停止，立即进行人工呼吸，就医。   ※食入：饮足量温水，催吐，就医。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工程控制：生产过程密闭，全面通风。提供安全淋浴和洗眼设备。   ※呼吸系统防护：一般不需特殊防护，高浓度接触时可佩戴自吸过滤式防毒面具（半面罩）。  ※眼睛防护：戴安全防护眼镜。   ※身体防护：穿防静电工作服。   ※手防护：戴一般作业防护手套。   ※其他：工作现场严禁吸烟。保持良好的卫生习惯。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活性炭或其他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 w:rsidR="00D536D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D536DB" w:rsidRDefault="00D536DB" w:rsidP="0090435F">
            <w:pPr>
              <w:spacing w:line="28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6DB" w:rsidRDefault="00D536D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间温度不宜超过30℃。防止阳光直射。保持容器密封。应与氧化剂分开存放。储存间内的照明、通风等设施应采用防爆型，开关设在仓外。配备相应品种和数量的消防器材。罐储时要有防火放爆技术措施。禁止使用易产生火花的机械设备和工具。定期检查是否的泄漏现象。灌装时应注意流速（不超过3m/s）,且有接地装置，防止静电积聚。搬运时要轻装轻卸，防止包装及容器破损。夏季应早晚运输，防止日光曝晒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DB"/>
    <w:rsid w:val="00D536DB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4365B-3FE0-4B30-80AE-C11E7C9A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536DB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536DB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>zyhq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